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 </w:t>
      </w:r>
    </w:p>
    <w:p w:rsidR="00000000" w:rsidDel="00000000" w:rsidP="00000000" w:rsidRDefault="00000000" w:rsidRPr="00000000" w14:paraId="00000006">
      <w:pPr>
        <w:ind w:left="720" w:firstLine="0"/>
        <w:jc w:val="center"/>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Stellar</w:t>
      </w:r>
      <w:r w:rsidDel="00000000" w:rsidR="00000000" w:rsidRPr="00000000">
        <w:rPr>
          <w:rFonts w:ascii="Arial" w:cs="Arial" w:eastAsia="Arial" w:hAnsi="Arial"/>
          <w:b w:val="1"/>
          <w:bCs w:val="1"/>
          <w:sz w:val="22"/>
          <w:szCs w:val="22"/>
          <w:vertAlign w:val="superscript"/>
          <w:rtl w:val="0"/>
        </w:rPr>
        <w:t xml:space="preserve">® </w:t>
      </w:r>
      <w:r w:rsidDel="00000000" w:rsidR="00000000" w:rsidRPr="00000000">
        <w:rPr>
          <w:rFonts w:ascii="Arial" w:cs="Arial" w:eastAsia="Arial" w:hAnsi="Arial"/>
          <w:b w:val="1"/>
          <w:bCs w:val="1"/>
          <w:sz w:val="22"/>
          <w:szCs w:val="22"/>
          <w:rtl w:val="0"/>
        </w:rPr>
        <w:t xml:space="preserve">Single-Axle Fuel/Lube Truck</w:t>
      </w:r>
    </w:p>
    <w:p w:rsidR="00000000" w:rsidDel="00000000" w:rsidP="00000000" w:rsidRDefault="00000000" w:rsidRPr="00000000" w14:paraId="00000007">
      <w:pPr>
        <w:ind w:left="720" w:firstLine="0"/>
        <w:jc w:val="center"/>
        <w:rPr>
          <w:rFonts w:ascii="Arial" w:cs="Arial" w:eastAsia="Arial" w:hAnsi="Arial"/>
          <w:b w:val="1"/>
          <w:bCs w:val="1"/>
        </w:rPr>
      </w:pPr>
      <w:r w:rsidDel="00000000" w:rsidR="00000000" w:rsidRPr="00000000">
        <w:rPr>
          <w:rtl w:val="0"/>
        </w:rPr>
      </w:r>
    </w:p>
    <w:p w:rsidR="00000000" w:rsidDel="00000000" w:rsidP="00000000" w:rsidRDefault="00000000" w:rsidRPr="00000000" w14:paraId="00000008">
      <w:pPr>
        <w:ind w:left="0" w:firstLine="0"/>
        <w:rPr>
          <w:rFonts w:ascii="Arial" w:cs="Arial" w:eastAsia="Arial" w:hAnsi="Arial"/>
          <w:sz w:val="22"/>
          <w:szCs w:val="22"/>
        </w:rPr>
      </w:pPr>
      <w:r w:rsidDel="00000000" w:rsidR="00000000" w:rsidRPr="00000000">
        <w:rPr>
          <w:rFonts w:ascii="Arial" w:cs="Arial" w:eastAsia="Arial" w:hAnsi="Arial"/>
          <w:sz w:val="22"/>
          <w:szCs w:val="22"/>
          <w:rtl w:val="0"/>
        </w:rPr>
        <w:t xml:space="preserve">Built for smaller fleets and non-CDL applications, </w:t>
      </w:r>
      <w:hyperlink r:id="rId8">
        <w:r w:rsidDel="00000000" w:rsidR="00000000" w:rsidRPr="00000000">
          <w:rPr>
            <w:rFonts w:ascii="Arial" w:cs="Arial" w:eastAsia="Arial" w:hAnsi="Arial"/>
            <w:color w:val="1155cc"/>
            <w:sz w:val="22"/>
            <w:szCs w:val="22"/>
            <w:u w:val="single"/>
            <w:rtl w:val="0"/>
          </w:rPr>
          <w:t xml:space="preserve">single-axle fuel/lube trucks</w:t>
        </w:r>
      </w:hyperlink>
      <w:r w:rsidDel="00000000" w:rsidR="00000000" w:rsidRPr="00000000">
        <w:rPr>
          <w:rFonts w:ascii="Arial" w:cs="Arial" w:eastAsia="Arial" w:hAnsi="Arial"/>
          <w:sz w:val="22"/>
          <w:szCs w:val="22"/>
          <w:rtl w:val="0"/>
        </w:rPr>
        <w:t xml:space="preserve"> fit a 33,000-lb GVW chassis and typically carry 1,000 – 1,250 gallons of fuel along with DEF, oils, used oil, antifreeze and grease. Available in open platform or enclosed van body designs, these units are compact yet powerful, providing easy maneuverability for jobsites with tight access. </w:t>
      </w:r>
    </w:p>
    <w:p w:rsidR="00000000" w:rsidDel="00000000" w:rsidP="00000000" w:rsidRDefault="00000000" w:rsidRPr="00000000" w14:paraId="00000009">
      <w:pPr>
        <w:ind w:lef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A">
      <w:pPr>
        <w:ind w:left="0" w:firstLine="0"/>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Fonts w:ascii="Arial" w:cs="Arial" w:eastAsia="Arial" w:hAnsi="Arial"/>
          <w:sz w:val="22"/>
          <w:szCs w:val="22"/>
          <w:rtl w:val="0"/>
        </w:rPr>
        <w:t xml:space="preserve">Key standard features on Stellar single-axle fuel/lube trucks include</w:t>
      </w:r>
      <w:r w:rsidDel="00000000" w:rsidR="00000000" w:rsidRPr="00000000">
        <w:rPr>
          <w:rFonts w:ascii="Arial" w:cs="Arial" w:eastAsia="Arial" w:hAnsi="Arial"/>
          <w:b w:val="1"/>
          <w:bCs w:val="1"/>
          <w:sz w:val="22"/>
          <w:szCs w:val="22"/>
          <w:rtl w:val="0"/>
        </w:rPr>
        <w:t xml:space="preserve">:</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240" w:line="276" w:lineRule="auto"/>
        <w:ind w:left="72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Heavy-Duty Steel Platform for Superior Durability:</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D</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esigned and constructed to withstand the rigors of challenging terrain and continuous, high-intensity use</w:t>
      </w:r>
      <w:r w:rsidDel="00000000" w:rsidR="00000000" w:rsidRPr="00000000">
        <w:rPr>
          <w:rFonts w:ascii="Arial" w:cs="Arial" w:eastAsia="Arial" w:hAnsi="Arial"/>
          <w:sz w:val="22"/>
          <w:szCs w:val="22"/>
          <w:rtl w:val="0"/>
        </w:rPr>
        <w:t xml:space="preserve">, t</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his platform ensures the long-term structural integrity of the entire unit</w:t>
      </w:r>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0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Underbody Storage Cabinets for Secure Tool and Fluid Storage: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Strategically located underbody storage cabinets are integrated into the design to provide secure and weather-resistant compartments</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keeping t</w:t>
      </w:r>
      <w:r w:rsidDel="00000000" w:rsidR="00000000" w:rsidRPr="00000000">
        <w:rPr>
          <w:rFonts w:ascii="Arial" w:cs="Arial" w:eastAsia="Arial" w:hAnsi="Arial"/>
          <w:sz w:val="22"/>
          <w:szCs w:val="22"/>
          <w:rtl w:val="0"/>
        </w:rPr>
        <w:t xml:space="preserve">ools and essential fluids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safely secured during transport and readily accessible when needed on the job site.</w:t>
      </w:r>
      <w:r w:rsidDel="00000000" w:rsidR="00000000" w:rsidRPr="00000000">
        <w:rPr>
          <w:rtl w:val="0"/>
        </w:rPr>
      </w:r>
    </w:p>
    <w:p w:rsidR="00000000" w:rsidDel="00000000" w:rsidP="00000000" w:rsidRDefault="00000000" w:rsidRPr="00000000" w14:paraId="0000000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Reel Compartment for Easy Access to Hose Reels:</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A dedicated, easy-access reel compartment</w:t>
      </w:r>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minimizes reel exposure to the elements and job-site debris while ensuring quick and effortless access, deployment, and retraction</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0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beforeAutospacing="0" w:line="276" w:lineRule="auto"/>
        <w:ind w:left="72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Air Compressor for Pneumatic Tools and Operations:</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A powerful onboard air compressor is a standard inclusion, providing a vital source of compressed air</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for ons</w:t>
      </w:r>
      <w:r w:rsidDel="00000000" w:rsidR="00000000" w:rsidRPr="00000000">
        <w:rPr>
          <w:rFonts w:ascii="Arial" w:cs="Arial" w:eastAsia="Arial" w:hAnsi="Arial"/>
          <w:sz w:val="22"/>
          <w:szCs w:val="22"/>
          <w:rtl w:val="0"/>
        </w:rPr>
        <w:t xml:space="preserve">i</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 </w:t>
      </w:r>
      <w:r w:rsidDel="00000000" w:rsidR="00000000" w:rsidRPr="00000000">
        <w:rPr>
          <w:rFonts w:ascii="Arial" w:cs="Arial" w:eastAsia="Arial" w:hAnsi="Arial"/>
          <w:sz w:val="22"/>
          <w:szCs w:val="22"/>
          <w:rtl w:val="0"/>
        </w:rPr>
        <w:t xml:space="preserve">equipment needs. </w:t>
      </w:r>
      <w:r w:rsidDel="00000000" w:rsidR="00000000" w:rsidRPr="00000000">
        <w:rPr>
          <w:rtl w:val="0"/>
        </w:rPr>
      </w:r>
    </w:p>
    <w:p w:rsidR="00000000" w:rsidDel="00000000" w:rsidP="00000000" w:rsidRDefault="00000000" w:rsidRPr="00000000" w14:paraId="0000000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240" w:before="0" w:beforeAutospacing="0" w:line="276" w:lineRule="auto"/>
        <w:ind w:left="720" w:right="0" w:hanging="360"/>
        <w:jc w:val="left"/>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All Air-Operated Pumps for Smooth, Reliable Fluid Transfer:</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A</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complete system of air-operated pumps for all fluid transfer application</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ensures smooth, consistent, and reliable delivery of various fluids</w:t>
      </w:r>
      <w:r w:rsidDel="00000000" w:rsidR="00000000" w:rsidRPr="00000000">
        <w:rPr>
          <w:rFonts w:ascii="Arial" w:cs="Arial" w:eastAsia="Arial" w:hAnsi="Arial"/>
          <w:sz w:val="22"/>
          <w:szCs w:val="22"/>
          <w:rtl w:val="0"/>
        </w:rPr>
        <w:t xml:space="preserve">.</w:t>
      </w:r>
      <w:r w:rsidDel="00000000" w:rsidR="00000000" w:rsidRPr="00000000">
        <w:rPr>
          <w:rtl w:val="0"/>
        </w:rPr>
      </w:r>
    </w:p>
    <w:p w:rsidR="00000000" w:rsidDel="00000000" w:rsidP="00000000" w:rsidRDefault="00000000" w:rsidRPr="00000000" w14:paraId="00000010">
      <w:pPr>
        <w:rPr>
          <w:rFonts w:ascii="Arial" w:cs="Arial" w:eastAsia="Arial" w:hAnsi="Arial"/>
          <w:sz w:val="22"/>
          <w:szCs w:val="22"/>
        </w:rPr>
      </w:pPr>
      <w:r w:rsidDel="00000000" w:rsidR="00000000" w:rsidRPr="00000000">
        <w:rPr>
          <w:rFonts w:ascii="Arial" w:cs="Arial" w:eastAsia="Arial" w:hAnsi="Arial"/>
          <w:sz w:val="22"/>
          <w:szCs w:val="22"/>
          <w:rtl w:val="0"/>
        </w:rPr>
        <w:t xml:space="preserve">For more information on Stellar fuel and lube trucks, visit </w:t>
      </w:r>
      <w:hyperlink r:id="rId9">
        <w:r w:rsidDel="00000000" w:rsidR="00000000" w:rsidRPr="00000000">
          <w:rPr>
            <w:rFonts w:ascii="Arial" w:cs="Arial" w:eastAsia="Arial" w:hAnsi="Arial"/>
            <w:color w:val="1155cc"/>
            <w:sz w:val="22"/>
            <w:szCs w:val="22"/>
            <w:u w:val="single"/>
            <w:rtl w:val="0"/>
          </w:rPr>
          <w:t xml:space="preserve">stellarindustries.com</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2">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4">
      <w:pPr>
        <w:rPr>
          <w:rFonts w:ascii="Arial" w:cs="Arial" w:eastAsia="Arial" w:hAnsi="Arial"/>
          <w:i w:val="1"/>
          <w:iCs w:val="1"/>
          <w:sz w:val="22"/>
          <w:szCs w:val="22"/>
        </w:rPr>
      </w:pPr>
      <w:r w:rsidDel="00000000" w:rsidR="00000000" w:rsidRPr="00000000">
        <w:rPr>
          <w:rFonts w:ascii="Arial" w:cs="Arial" w:eastAsia="Arial" w:hAnsi="Arial"/>
          <w:i w:val="1"/>
          <w:iCs w:val="1"/>
          <w:sz w:val="22"/>
          <w:szCs w:val="22"/>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rsidR="00000000" w:rsidDel="00000000" w:rsidP="00000000" w:rsidRDefault="00000000" w:rsidRPr="00000000" w14:paraId="00000015">
      <w:pPr>
        <w:rPr>
          <w:rFonts w:ascii="Arial" w:cs="Arial" w:eastAsia="Arial" w:hAnsi="Arial"/>
          <w:i w:val="1"/>
          <w:iCs w:val="1"/>
          <w:sz w:val="22"/>
          <w:szCs w:val="22"/>
        </w:rPr>
      </w:pPr>
      <w:r w:rsidDel="00000000" w:rsidR="00000000" w:rsidRPr="00000000">
        <w:rPr>
          <w:rtl w:val="0"/>
        </w:rPr>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6" name="image1.png"/>
          <a:graphic>
            <a:graphicData uri="http://schemas.openxmlformats.org/drawingml/2006/picture">
              <pic:pic>
                <pic:nvPicPr>
                  <pic:cNvPr id="0" name="image1.png"/>
                  <pic:cNvPicPr preferRelativeResize="0"/>
                </pic:nvPicPr>
                <pic:blipFill>
                  <a:blip r:embed="rId1"/>
                  <a:srcRect b="-15978" l="3665"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9">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C">
    <w:pPr>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bCs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Arial" w:cs="Arial" w:eastAsia="Arial" w:hAnsi="Arial"/>
        <w:b w:val="0"/>
        <w:bCs w:val="0"/>
        <w:i w:val="0"/>
        <w:iCs w:val="0"/>
        <w:smallCaps w:val="0"/>
        <w:strike w:val="0"/>
        <w:color w:val="000000"/>
        <w:sz w:val="22"/>
        <w:szCs w:val="22"/>
        <w:u w:val="none"/>
        <w:shd w:fill="auto" w:val="clear"/>
        <w:vertAlign w:val="baseline"/>
      </w:rPr>
    </w:lvl>
    <w:lvl w:ilvl="1">
      <w:start w:val="1"/>
      <w:numFmt w:val="lowerLetter"/>
      <w:lvlText w:val="%2."/>
      <w:lvlJc w:val="left"/>
      <w:pPr>
        <w:ind w:left="1440" w:hanging="360"/>
      </w:pPr>
      <w:rPr>
        <w:rFonts w:ascii="Arial" w:cs="Arial" w:eastAsia="Arial" w:hAnsi="Arial"/>
        <w:b w:val="0"/>
        <w:bCs w:val="0"/>
        <w:i w:val="0"/>
        <w:iCs w:val="0"/>
        <w:smallCaps w:val="0"/>
        <w:strike w:val="0"/>
        <w:color w:val="000000"/>
        <w:sz w:val="22"/>
        <w:szCs w:val="22"/>
        <w:u w:val="none"/>
        <w:shd w:fill="auto" w:val="clear"/>
        <w:vertAlign w:val="baseline"/>
      </w:rPr>
    </w:lvl>
    <w:lvl w:ilvl="2">
      <w:start w:val="1"/>
      <w:numFmt w:val="lowerRoman"/>
      <w:lvlText w:val="%3."/>
      <w:lvlJc w:val="left"/>
      <w:pPr>
        <w:ind w:left="2160" w:hanging="360"/>
      </w:pPr>
      <w:rPr>
        <w:rFonts w:ascii="Arial" w:cs="Arial" w:eastAsia="Arial" w:hAnsi="Arial"/>
        <w:b w:val="0"/>
        <w:bCs w:val="0"/>
        <w:i w:val="0"/>
        <w:iCs w:val="0"/>
        <w:smallCaps w:val="0"/>
        <w:strike w:val="0"/>
        <w:color w:val="000000"/>
        <w:sz w:val="22"/>
        <w:szCs w:val="22"/>
        <w:u w:val="none"/>
        <w:shd w:fill="auto" w:val="clear"/>
        <w:vertAlign w:val="baseline"/>
      </w:rPr>
    </w:lvl>
    <w:lvl w:ilvl="3">
      <w:start w:val="1"/>
      <w:numFmt w:val="decimal"/>
      <w:lvlText w:val="%4."/>
      <w:lvlJc w:val="left"/>
      <w:pPr>
        <w:ind w:left="2880" w:hanging="360"/>
      </w:pPr>
      <w:rPr>
        <w:rFonts w:ascii="Arial" w:cs="Arial" w:eastAsia="Arial" w:hAnsi="Arial"/>
        <w:b w:val="0"/>
        <w:bCs w:val="0"/>
        <w:i w:val="0"/>
        <w:iCs w:val="0"/>
        <w:smallCaps w:val="0"/>
        <w:strike w:val="0"/>
        <w:color w:val="000000"/>
        <w:sz w:val="22"/>
        <w:szCs w:val="22"/>
        <w:u w:val="none"/>
        <w:shd w:fill="auto" w:val="clear"/>
        <w:vertAlign w:val="baseline"/>
      </w:rPr>
    </w:lvl>
    <w:lvl w:ilvl="4">
      <w:start w:val="1"/>
      <w:numFmt w:val="lowerLetter"/>
      <w:lvlText w:val="%5."/>
      <w:lvlJc w:val="left"/>
      <w:pPr>
        <w:ind w:left="3600" w:hanging="360"/>
      </w:pPr>
      <w:rPr>
        <w:rFonts w:ascii="Arial" w:cs="Arial" w:eastAsia="Arial" w:hAnsi="Arial"/>
        <w:b w:val="0"/>
        <w:bCs w:val="0"/>
        <w:i w:val="0"/>
        <w:iCs w:val="0"/>
        <w:smallCaps w:val="0"/>
        <w:strike w:val="0"/>
        <w:color w:val="000000"/>
        <w:sz w:val="22"/>
        <w:szCs w:val="22"/>
        <w:u w:val="none"/>
        <w:shd w:fill="auto" w:val="clear"/>
        <w:vertAlign w:val="baseline"/>
      </w:rPr>
    </w:lvl>
    <w:lvl w:ilvl="5">
      <w:start w:val="1"/>
      <w:numFmt w:val="lowerRoman"/>
      <w:lvlText w:val="%6."/>
      <w:lvlJc w:val="left"/>
      <w:pPr>
        <w:ind w:left="4320" w:hanging="360"/>
      </w:pPr>
      <w:rPr>
        <w:rFonts w:ascii="Arial" w:cs="Arial" w:eastAsia="Arial" w:hAnsi="Arial"/>
        <w:b w:val="0"/>
        <w:bCs w:val="0"/>
        <w:i w:val="0"/>
        <w:iCs w:val="0"/>
        <w:smallCaps w:val="0"/>
        <w:strike w:val="0"/>
        <w:color w:val="000000"/>
        <w:sz w:val="22"/>
        <w:szCs w:val="22"/>
        <w:u w:val="none"/>
        <w:shd w:fill="auto" w:val="clear"/>
        <w:vertAlign w:val="baseline"/>
      </w:rPr>
    </w:lvl>
    <w:lvl w:ilvl="6">
      <w:start w:val="1"/>
      <w:numFmt w:val="decimal"/>
      <w:lvlText w:val="%7."/>
      <w:lvlJc w:val="left"/>
      <w:pPr>
        <w:ind w:left="5040" w:hanging="360"/>
      </w:pPr>
      <w:rPr>
        <w:rFonts w:ascii="Arial" w:cs="Arial" w:eastAsia="Arial" w:hAnsi="Arial"/>
        <w:b w:val="0"/>
        <w:bCs w:val="0"/>
        <w:i w:val="0"/>
        <w:iCs w:val="0"/>
        <w:smallCaps w:val="0"/>
        <w:strike w:val="0"/>
        <w:color w:val="000000"/>
        <w:sz w:val="22"/>
        <w:szCs w:val="22"/>
        <w:u w:val="none"/>
        <w:shd w:fill="auto" w:val="clear"/>
        <w:vertAlign w:val="baseline"/>
      </w:rPr>
    </w:lvl>
    <w:lvl w:ilvl="7">
      <w:start w:val="1"/>
      <w:numFmt w:val="lowerLetter"/>
      <w:lvlText w:val="%8."/>
      <w:lvlJc w:val="left"/>
      <w:pPr>
        <w:ind w:left="5760" w:hanging="360"/>
      </w:pPr>
      <w:rPr>
        <w:rFonts w:ascii="Arial" w:cs="Arial" w:eastAsia="Arial" w:hAnsi="Arial"/>
        <w:b w:val="0"/>
        <w:bCs w:val="0"/>
        <w:i w:val="0"/>
        <w:iCs w:val="0"/>
        <w:smallCaps w:val="0"/>
        <w:strike w:val="0"/>
        <w:color w:val="000000"/>
        <w:sz w:val="22"/>
        <w:szCs w:val="22"/>
        <w:u w:val="none"/>
        <w:shd w:fill="auto" w:val="clear"/>
        <w:vertAlign w:val="baseline"/>
      </w:rPr>
    </w:lvl>
    <w:lvl w:ilvl="8">
      <w:start w:val="1"/>
      <w:numFmt w:val="lowerRoman"/>
      <w:lvlText w:val="%9."/>
      <w:lvlJc w:val="left"/>
      <w:pPr>
        <w:ind w:left="6480" w:hanging="360"/>
      </w:pPr>
      <w:rPr>
        <w:rFonts w:ascii="Arial" w:cs="Arial" w:eastAsia="Arial" w:hAnsi="Arial"/>
        <w:b w:val="0"/>
        <w:bCs w:val="0"/>
        <w:i w:val="0"/>
        <w:iCs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bCs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bCs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bCs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bCs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bCs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rPr>
      <w:rFonts w:ascii="Calibri" w:cs="Calibri" w:eastAsia="Calibri" w:hAnsi="Calibri"/>
    </w:r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rPr>
      <w:rFonts w:ascii="Calibri" w:cs="Calibri" w:eastAsia="Calibri" w:hAnsi="Calibri"/>
    </w:r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Hyperlink">
    <w:name w:val="Hyperlink"/>
    <w:basedOn w:val="DefaultParagraphFont"/>
    <w:uiPriority w:val="99"/>
    <w:unhideWhenUsed w:val="1"/>
    <w:rsid w:val="0012238B"/>
    <w:rPr>
      <w:color w:val="0563c1" w:themeColor="hyperlink"/>
      <w:u w:val="single"/>
    </w:rPr>
  </w:style>
  <w:style w:type="character" w:styleId="UnresolvedMention">
    <w:name w:val="Unresolved Mention"/>
    <w:basedOn w:val="DefaultParagraphFont"/>
    <w:uiPriority w:val="99"/>
    <w:semiHidden w:val="1"/>
    <w:unhideWhenUsed w:val="1"/>
    <w:rsid w:val="0012238B"/>
    <w:rPr>
      <w:color w:val="605e5c"/>
      <w:shd w:color="auto" w:fill="e1dfdd" w:val="clear"/>
    </w:rPr>
  </w:style>
  <w:style w:type="character" w:styleId="FollowedHyperlink">
    <w:name w:val="FollowedHyperlink"/>
    <w:basedOn w:val="DefaultParagraphFont"/>
    <w:uiPriority w:val="99"/>
    <w:semiHidden w:val="1"/>
    <w:unhideWhenUsed w:val="1"/>
    <w:rsid w:val="0012238B"/>
    <w:rPr>
      <w:color w:val="954f72" w:themeColor="followedHyperlink"/>
      <w:u w:val="single"/>
    </w:rPr>
  </w:style>
  <w:style w:type="paragraph" w:styleId="ListParagraph">
    <w:name w:val="List Paragraph"/>
    <w:basedOn w:val="Normal"/>
    <w:uiPriority w:val="34"/>
    <w:qFormat w:val="1"/>
    <w:rsid w:val="00716570"/>
    <w:pPr>
      <w:ind w:left="720"/>
      <w:contextualSpacing w:val="1"/>
    </w:pPr>
    <w:rPr>
      <w:rFonts w:ascii="Calibri" w:cs="Calibri" w:eastAsia="Calibri" w:hAnsi="Calibri"/>
    </w:rPr>
  </w:style>
  <w:style w:type="character" w:styleId="Strong">
    <w:name w:val="Strong"/>
    <w:basedOn w:val="DefaultParagraphFont"/>
    <w:uiPriority w:val="22"/>
    <w:qFormat w:val="1"/>
    <w:rsid w:val="00C56F39"/>
    <w:rPr>
      <w:b w:val="1"/>
      <w:bCs w:val="1"/>
    </w:rPr>
  </w:style>
  <w:style w:type="paragraph" w:styleId="NoSpacing">
    <w:name w:val="No Spacing"/>
    <w:uiPriority w:val="1"/>
    <w:qFormat w:val="1"/>
    <w:rsid w:val="00C56F39"/>
    <w:rPr>
      <w:rFonts w:ascii="Times New Roman" w:cs="Times New Roman" w:eastAsia="Times New Roman" w:hAnsi="Times New Roman"/>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1.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category/fuel-and-lube-trucks/" TargetMode="External"/><Relationship Id="rId15" Type="http://schemas.openxmlformats.org/officeDocument/2006/relationships/footer" Target="footer3.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fuel-and-lube-trucks/fuel-lube-trucks/single-tandem-axle-fuel-lube-truc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nIRxWmLLcpn9k11YRg7eit+ZVg==">CgMxLjA4AHIhMUZGNUFKSnF3dm5ZSlpzb3RlS1FQbC1LTkxoUmlPV3Bi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2024-12-30T16:29:00Z</dcterms:created>
  <dc:creator>Kelsey Meyer</dc:creator>
</cp:coreProperties>
</file>